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1E211E2A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6878AF05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6FC4212" w14:textId="77777777" w:rsidR="00B33157" w:rsidRPr="003F46CF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1818B3B5" w14:textId="15F522DC" w:rsidR="002108E8" w:rsidRPr="003F46CF" w:rsidRDefault="002108E8" w:rsidP="00D74063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p w14:paraId="65975A75" w14:textId="168CE08B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Указания за комисиите по звена:</w:t>
      </w:r>
    </w:p>
    <w:p w14:paraId="358EE859" w14:textId="523D8DA8" w:rsidR="005467BB" w:rsidRDefault="005467BB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Указания за </w:t>
      </w:r>
      <w:r w:rsidR="005331B0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м</w:t>
      </w:r>
      <w:r w:rsidR="00EB156C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одул</w:t>
      </w:r>
      <w:r w:rsidR="004942E3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„</w:t>
      </w: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постдокторанти</w:t>
      </w:r>
      <w:r w:rsidR="004942E3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“</w:t>
      </w: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: </w:t>
      </w:r>
    </w:p>
    <w:p w14:paraId="78B7B7BA" w14:textId="5F9359D4" w:rsidR="005467BB" w:rsidRPr="005331B0" w:rsidRDefault="005467BB" w:rsidP="008E7A45">
      <w:pPr>
        <w:pStyle w:val="ListParagraph"/>
        <w:numPr>
          <w:ilvl w:val="0"/>
          <w:numId w:val="30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5331B0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Имат право да кандидатстват специалист, </w:t>
      </w:r>
      <w:r w:rsidRPr="005331B0">
        <w:rPr>
          <w:rFonts w:ascii="Cambria Math" w:hAnsi="Cambria Math" w:cs="Arial"/>
          <w:color w:val="000000" w:themeColor="text1"/>
          <w:sz w:val="24"/>
          <w:szCs w:val="24"/>
        </w:rPr>
        <w:t>асистент, главен асистент и доцент, отговарящи на условията за постдокторант (до 5 г. след получаване на докторска степен).</w:t>
      </w:r>
      <w:r w:rsidRPr="005331B0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</w:t>
      </w:r>
      <w:r w:rsidRPr="005331B0">
        <w:rPr>
          <w:rFonts w:ascii="Cambria Math" w:hAnsi="Cambria Math" w:cs="Arial"/>
          <w:color w:val="000000" w:themeColor="text1"/>
          <w:sz w:val="24"/>
          <w:szCs w:val="24"/>
        </w:rPr>
        <w:t>Средствата по модула могат да бъдат използвани, както за основни месечни възнаграждения на новоназначени постдокторанти (извън структурата на ПУ), така и за допълнителни месечни възнаграждения на вече назначени в организацията бенефициент постдокторанти</w:t>
      </w:r>
      <w:r w:rsidRPr="005331B0">
        <w:rPr>
          <w:rFonts w:ascii="Cambria Math" w:hAnsi="Cambria Math"/>
          <w:color w:val="000000" w:themeColor="text1"/>
          <w:sz w:val="24"/>
          <w:szCs w:val="24"/>
        </w:rPr>
        <w:t xml:space="preserve">. Проектите могат да бъдат с продължителност до 12 месеца. Всеки факултет определя темите по проекта, както и работните екипи. При подготвянето на проекта за постдокторанти сумата за общо възнаграждение е 85 % от стойността на проекта, като минималната сума за 12 месеца е 24 000 лв. с работодателски за новоназначени, а за допълнителни месечни възнаграждения на служители на организацията е 4 800 лв. с работодателски за 12 месеца.  Максималната сума за всеки един от проектите се решава от комисията на всеки факултет. Участниците в програмата трябва да бъдат новоназначени или на трудов договор в ПУ „Паисий Хилендарски“ и да отговарят на условието „постодкторант“. Минимумът за назначаване на постдокторанти, които са на трудов договор е 4 часа на ден. </w:t>
      </w:r>
      <w:r w:rsidRPr="005331B0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Лицата може да имат трудови правоотношения с ПУ или да не работят никъде (за новоназначените).  </w:t>
      </w:r>
    </w:p>
    <w:p w14:paraId="1F71FE37" w14:textId="78F41862" w:rsidR="008E7A45" w:rsidRPr="008E7A45" w:rsidRDefault="008E7A45" w:rsidP="008E7A45">
      <w:pPr>
        <w:pStyle w:val="ListParagraph"/>
        <w:numPr>
          <w:ilvl w:val="0"/>
          <w:numId w:val="30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Документи за кандидатстване: </w:t>
      </w:r>
    </w:p>
    <w:p w14:paraId="73324F0E" w14:textId="77777777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Заявление за участие; </w:t>
      </w:r>
    </w:p>
    <w:p w14:paraId="6C0FCC70" w14:textId="202EEDB4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кандидатът да представи проектно предложение</w:t>
      </w:r>
      <w:r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,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която ще следва (цел, задачи, етапи на изпълнение, резултати);</w:t>
      </w:r>
    </w:p>
    <w:p w14:paraId="3522C45F" w14:textId="10456EB8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Копие от диплома за придобита ОКС „магистър“ или ОНС „доктор</w:t>
      </w:r>
      <w:r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и сертификати. </w:t>
      </w:r>
    </w:p>
    <w:p w14:paraId="11D448B5" w14:textId="3955E89F" w:rsidR="008E7A45" w:rsidRPr="005E1D98" w:rsidRDefault="008E7A45" w:rsidP="008E7A45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Списък с резултати от научно-изследователската дейност на кандидата в съответната научна област</w:t>
      </w:r>
      <w:r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Взима се под внимание публикационната дейност на кандидатите </w:t>
      </w:r>
      <w:r w:rsidR="005E1D98" w:rsidRPr="005E1D98">
        <w:rPr>
          <w:rFonts w:ascii="Cambria Math" w:eastAsia="Arial" w:hAnsi="Cambria Math" w:cs="Arial"/>
          <w:color w:val="000000" w:themeColor="text1"/>
          <w:sz w:val="24"/>
          <w:szCs w:val="24"/>
        </w:rPr>
        <w:t>3 години назад – от 01.01.2021 г. до 31.12.2023</w:t>
      </w:r>
      <w:r w:rsidRPr="005E1D98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г.: </w:t>
      </w:r>
    </w:p>
    <w:p w14:paraId="17F5F337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bookmarkStart w:id="0" w:name="_GoBack"/>
      <w:bookmarkEnd w:id="0"/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публикации;</w:t>
      </w:r>
    </w:p>
    <w:p w14:paraId="518045F1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участия в изследователски проекти;</w:t>
      </w:r>
    </w:p>
    <w:p w14:paraId="41081AE6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научни специализации.</w:t>
      </w:r>
    </w:p>
    <w:p w14:paraId="6EFCB60E" w14:textId="77777777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Материали с доказателствен характер: </w:t>
      </w:r>
    </w:p>
    <w:p w14:paraId="6FE12261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за участие в научни специализации;</w:t>
      </w:r>
    </w:p>
    <w:p w14:paraId="2AF0E7A3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за участие в научни конференции;</w:t>
      </w:r>
    </w:p>
    <w:p w14:paraId="76F3308D" w14:textId="77777777" w:rsidR="008E7A45" w:rsidRPr="003F46CF" w:rsidRDefault="008E7A45" w:rsidP="008E7A45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копие от публикации със съответните линкове към базите данни.</w:t>
      </w:r>
    </w:p>
    <w:p w14:paraId="6A9A9758" w14:textId="77777777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Декларация</w:t>
      </w:r>
      <w:r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за трудово правен статус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;</w:t>
      </w:r>
    </w:p>
    <w:p w14:paraId="47ACEA34" w14:textId="77777777" w:rsidR="008E7A45" w:rsidRPr="003F46CF" w:rsidRDefault="008E7A45" w:rsidP="008E7A45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lastRenderedPageBreak/>
        <w:t>Копие от награди и грамоти.</w:t>
      </w:r>
    </w:p>
    <w:p w14:paraId="02B135F9" w14:textId="77777777" w:rsidR="008C445E" w:rsidRPr="008C445E" w:rsidRDefault="008C445E" w:rsidP="008C445E">
      <w:pPr>
        <w:tabs>
          <w:tab w:val="left" w:pos="14884"/>
        </w:tabs>
        <w:spacing w:after="167" w:line="240" w:lineRule="auto"/>
        <w:ind w:left="1068" w:right="992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8C445E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Участниците в програмата трябва да представят междинни отчети на всеки 3 месеца от периода на програмата, в които да посочат актуалния статус на всяка заложена в проектното предложение дейност и 1 краен отчет, който да се обобщи дейността на участника в рамките на целия отчетен период по програмата. Отчетите се предават на академичният наставник, определен от всеки факултет. </w:t>
      </w:r>
    </w:p>
    <w:p w14:paraId="5A1725DD" w14:textId="77777777" w:rsidR="008C445E" w:rsidRDefault="008C445E" w:rsidP="008F51E9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p w14:paraId="34631B81" w14:textId="14CB6610" w:rsidR="008F51E9" w:rsidRDefault="003E55FC" w:rsidP="008F51E9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Указание за </w:t>
      </w:r>
      <w:r w:rsidR="005331B0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модул </w:t>
      </w:r>
      <w:r w:rsidR="004942E3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„</w:t>
      </w: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млади учени</w:t>
      </w:r>
      <w:r w:rsidR="004942E3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“</w:t>
      </w: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: </w:t>
      </w:r>
      <w:bookmarkStart w:id="1" w:name="_Hlk103331718"/>
    </w:p>
    <w:p w14:paraId="2CEA8565" w14:textId="77777777" w:rsidR="008F51E9" w:rsidRDefault="008F51E9" w:rsidP="008F51E9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p w14:paraId="7A762E6A" w14:textId="74E1F61B" w:rsidR="00B33157" w:rsidRPr="008E7A45" w:rsidRDefault="00B33157" w:rsidP="008E7A45">
      <w:pPr>
        <w:pStyle w:val="ListParagraph"/>
        <w:numPr>
          <w:ilvl w:val="0"/>
          <w:numId w:val="31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8E7A45">
        <w:rPr>
          <w:rFonts w:ascii="Cambria Math" w:eastAsia="Arial" w:hAnsi="Cambria Math" w:cs="Arial"/>
          <w:color w:val="000000" w:themeColor="text1"/>
          <w:sz w:val="24"/>
          <w:szCs w:val="24"/>
        </w:rPr>
        <w:t>Имат право да кандидатстват млади учени</w:t>
      </w:r>
      <w:r w:rsidRPr="008E7A45">
        <w:rPr>
          <w:rFonts w:ascii="Cambria Math" w:hAnsi="Cambria Math" w:cs="Arial"/>
          <w:color w:val="000000" w:themeColor="text1"/>
          <w:sz w:val="24"/>
          <w:szCs w:val="24"/>
        </w:rPr>
        <w:t xml:space="preserve"> до 10 г. след получаване на първа магистърска степен</w:t>
      </w:r>
      <w:r w:rsidR="00EB156C" w:rsidRP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 </w:t>
      </w:r>
      <w:r w:rsidRPr="008E7A45">
        <w:rPr>
          <w:rFonts w:ascii="Cambria Math" w:hAnsi="Cambria Math" w:cs="Arial"/>
          <w:color w:val="000000" w:themeColor="text1"/>
          <w:sz w:val="24"/>
          <w:szCs w:val="24"/>
        </w:rPr>
        <w:t xml:space="preserve">Средствата по модула </w:t>
      </w:r>
      <w:r w:rsidR="00EB156C" w:rsidRPr="008E7A45">
        <w:rPr>
          <w:rFonts w:ascii="Cambria Math" w:hAnsi="Cambria Math" w:cs="Arial"/>
          <w:color w:val="000000" w:themeColor="text1"/>
          <w:sz w:val="24"/>
          <w:szCs w:val="24"/>
        </w:rPr>
        <w:t xml:space="preserve">„Млади учени“ </w:t>
      </w:r>
      <w:r w:rsidRPr="008E7A45">
        <w:rPr>
          <w:rFonts w:ascii="Cambria Math" w:hAnsi="Cambria Math" w:cs="Arial"/>
          <w:color w:val="000000" w:themeColor="text1"/>
          <w:sz w:val="24"/>
          <w:szCs w:val="24"/>
        </w:rPr>
        <w:t>могат да бъдат използвани</w:t>
      </w:r>
      <w:r w:rsidR="00BE40FA" w:rsidRPr="008E7A45">
        <w:rPr>
          <w:rFonts w:ascii="Cambria Math" w:hAnsi="Cambria Math" w:cs="Arial"/>
          <w:color w:val="000000" w:themeColor="text1"/>
          <w:sz w:val="24"/>
          <w:szCs w:val="24"/>
        </w:rPr>
        <w:t>,</w:t>
      </w:r>
      <w:r w:rsidRPr="008E7A45">
        <w:rPr>
          <w:rFonts w:ascii="Cambria Math" w:hAnsi="Cambria Math" w:cs="Arial"/>
          <w:color w:val="000000" w:themeColor="text1"/>
          <w:sz w:val="24"/>
          <w:szCs w:val="24"/>
        </w:rPr>
        <w:t xml:space="preserve"> както за основни месечни възнаграждения на новоназначени млади учени, така и за допълнителни месечни възнаграждения на вече назначени в организацията бенефициент млади учени</w:t>
      </w:r>
      <w:r w:rsidRPr="008E7A45">
        <w:rPr>
          <w:rFonts w:ascii="Cambria Math" w:hAnsi="Cambria Math"/>
          <w:color w:val="000000" w:themeColor="text1"/>
          <w:sz w:val="24"/>
          <w:szCs w:val="24"/>
        </w:rPr>
        <w:t>.</w:t>
      </w:r>
      <w:r w:rsidR="00EB156C" w:rsidRPr="008E7A45">
        <w:rPr>
          <w:rFonts w:ascii="Cambria Math" w:hAnsi="Cambria Math"/>
          <w:color w:val="000000" w:themeColor="text1"/>
          <w:sz w:val="24"/>
          <w:szCs w:val="24"/>
        </w:rPr>
        <w:t xml:space="preserve"> Месечното възнаграждение е</w:t>
      </w:r>
      <w:r w:rsidR="003E55FC" w:rsidRPr="008E7A45">
        <w:rPr>
          <w:rFonts w:ascii="Cambria Math" w:hAnsi="Cambria Math"/>
          <w:color w:val="000000" w:themeColor="text1"/>
          <w:sz w:val="24"/>
          <w:szCs w:val="24"/>
        </w:rPr>
        <w:t xml:space="preserve"> от 1200 лв. </w:t>
      </w:r>
      <w:r w:rsidR="00EB156C" w:rsidRPr="008E7A45">
        <w:rPr>
          <w:rFonts w:ascii="Cambria Math" w:hAnsi="Cambria Math"/>
          <w:color w:val="000000" w:themeColor="text1"/>
          <w:sz w:val="24"/>
          <w:szCs w:val="24"/>
        </w:rPr>
        <w:t xml:space="preserve">с работодателски за </w:t>
      </w:r>
      <w:r w:rsidR="003E55FC" w:rsidRPr="008E7A45">
        <w:rPr>
          <w:rFonts w:ascii="Cambria Math" w:hAnsi="Cambria Math"/>
          <w:color w:val="000000" w:themeColor="text1"/>
          <w:sz w:val="24"/>
          <w:szCs w:val="24"/>
        </w:rPr>
        <w:t xml:space="preserve">новоназначени </w:t>
      </w:r>
      <w:r w:rsidR="00EB156C" w:rsidRPr="008E7A45">
        <w:rPr>
          <w:rFonts w:ascii="Cambria Math" w:hAnsi="Cambria Math"/>
          <w:color w:val="000000" w:themeColor="text1"/>
          <w:sz w:val="24"/>
          <w:szCs w:val="24"/>
        </w:rPr>
        <w:t>и  за допълнителни месечни възнаграждения за служители на организацията</w:t>
      </w:r>
      <w:r w:rsidR="0009376F" w:rsidRPr="008E7A45">
        <w:rPr>
          <w:rFonts w:ascii="Cambria Math" w:hAnsi="Cambria Math"/>
          <w:color w:val="000000" w:themeColor="text1"/>
          <w:sz w:val="24"/>
          <w:szCs w:val="24"/>
        </w:rPr>
        <w:t xml:space="preserve">. </w:t>
      </w:r>
      <w:r w:rsidR="004F1513" w:rsidRPr="008E7A45">
        <w:rPr>
          <w:rFonts w:ascii="Cambria Math" w:hAnsi="Cambria Math"/>
          <w:color w:val="000000" w:themeColor="text1"/>
          <w:sz w:val="24"/>
          <w:szCs w:val="24"/>
        </w:rPr>
        <w:t>Участниците в програмата трябва да бъдат</w:t>
      </w:r>
      <w:r w:rsidR="00BA45C2" w:rsidRPr="008E7A45">
        <w:rPr>
          <w:rFonts w:ascii="Cambria Math" w:hAnsi="Cambria Math"/>
          <w:color w:val="000000" w:themeColor="text1"/>
          <w:sz w:val="24"/>
          <w:szCs w:val="24"/>
        </w:rPr>
        <w:t xml:space="preserve"> новоназначени или на</w:t>
      </w:r>
      <w:r w:rsidR="004F1513" w:rsidRPr="008E7A45">
        <w:rPr>
          <w:rFonts w:ascii="Cambria Math" w:hAnsi="Cambria Math"/>
          <w:color w:val="000000" w:themeColor="text1"/>
          <w:sz w:val="24"/>
          <w:szCs w:val="24"/>
        </w:rPr>
        <w:t xml:space="preserve"> трудов договор в ПУ „Паисий Хилендарски“ </w:t>
      </w:r>
      <w:r w:rsidR="00AB03C8" w:rsidRPr="008E7A45">
        <w:rPr>
          <w:rFonts w:ascii="Cambria Math" w:hAnsi="Cambria Math"/>
          <w:color w:val="000000" w:themeColor="text1"/>
          <w:sz w:val="24"/>
          <w:szCs w:val="24"/>
        </w:rPr>
        <w:t>и да отговарят на условието „млад учен“</w:t>
      </w:r>
      <w:r w:rsidR="00E46D95" w:rsidRPr="008E7A45">
        <w:rPr>
          <w:rFonts w:ascii="Cambria Math" w:hAnsi="Cambria Math"/>
          <w:color w:val="000000" w:themeColor="text1"/>
          <w:sz w:val="24"/>
          <w:szCs w:val="24"/>
        </w:rPr>
        <w:t>. Минимумът за назначаване на</w:t>
      </w:r>
      <w:r w:rsidR="00EB156C" w:rsidRPr="008E7A45">
        <w:rPr>
          <w:rFonts w:ascii="Cambria Math" w:hAnsi="Cambria Math"/>
          <w:color w:val="000000" w:themeColor="text1"/>
          <w:sz w:val="24"/>
          <w:szCs w:val="24"/>
        </w:rPr>
        <w:t xml:space="preserve"> млади учени,</w:t>
      </w:r>
      <w:r w:rsidR="00504B1B" w:rsidRPr="008E7A45">
        <w:rPr>
          <w:rFonts w:ascii="Cambria Math" w:hAnsi="Cambria Math"/>
          <w:color w:val="000000" w:themeColor="text1"/>
          <w:sz w:val="24"/>
          <w:szCs w:val="24"/>
        </w:rPr>
        <w:t xml:space="preserve"> които са на трудов договор </w:t>
      </w:r>
      <w:r w:rsidR="00E46D95" w:rsidRPr="008E7A45">
        <w:rPr>
          <w:rFonts w:ascii="Cambria Math" w:hAnsi="Cambria Math"/>
          <w:color w:val="000000" w:themeColor="text1"/>
          <w:sz w:val="24"/>
          <w:szCs w:val="24"/>
        </w:rPr>
        <w:t xml:space="preserve">е 4 часа на ден. </w:t>
      </w:r>
      <w:r w:rsidR="009A3E90" w:rsidRP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Лицата може да имат трудови правоотношения с ПУ или да не работят никъде (за новоназначените). </w:t>
      </w:r>
      <w:r w:rsidR="00504B1B" w:rsidRP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</w:t>
      </w:r>
    </w:p>
    <w:p w14:paraId="76EF7011" w14:textId="698EC5D8" w:rsidR="00B33157" w:rsidRPr="003F46CF" w:rsidRDefault="00B33157" w:rsidP="008E7A45">
      <w:pPr>
        <w:pStyle w:val="ListParagraph"/>
        <w:numPr>
          <w:ilvl w:val="0"/>
          <w:numId w:val="31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bookmarkStart w:id="2" w:name="_Hlk103332589"/>
      <w:bookmarkEnd w:id="1"/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Документи за кандидатстване:</w:t>
      </w:r>
      <w:r w:rsidR="0053186B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</w:t>
      </w:r>
    </w:p>
    <w:p w14:paraId="5AF1B8B4" w14:textId="7DDD9489" w:rsidR="00456B18" w:rsidRPr="003F46CF" w:rsidRDefault="00456B18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Заявление за участие</w:t>
      </w:r>
      <w:r w:rsidR="00515682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;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</w:t>
      </w:r>
    </w:p>
    <w:p w14:paraId="0647B499" w14:textId="0F1098B6" w:rsidR="00456B18" w:rsidRPr="003F46CF" w:rsidRDefault="00D92471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кандидатът да представи </w:t>
      </w:r>
      <w:r w:rsidR="00344AAE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работна програм</w:t>
      </w:r>
      <w:r w:rsidR="00606DE4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а, която ще следва</w:t>
      </w:r>
      <w:r w:rsidR="00A62AED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(</w:t>
      </w:r>
      <w:r w:rsidR="00344AAE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цел, задачи, етапи на изпълнение, резултати</w:t>
      </w:r>
      <w:r w:rsidR="00A62AED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)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;</w:t>
      </w:r>
    </w:p>
    <w:p w14:paraId="753DD518" w14:textId="0ABF2E60" w:rsidR="00456B18" w:rsidRPr="003F46CF" w:rsidRDefault="00456B18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Копие от диплома за придобита ОКС „магистър“ или ОНС „доктор</w:t>
      </w:r>
      <w:r w:rsid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и сертификати</w:t>
      </w:r>
    </w:p>
    <w:p w14:paraId="60250010" w14:textId="2AA77238" w:rsidR="00456B18" w:rsidRPr="003F46CF" w:rsidRDefault="00456B18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Списък с резултати от научно-изследователска</w:t>
      </w:r>
      <w:r w:rsidR="00B17F2E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та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дейнос</w:t>
      </w:r>
      <w:r w:rsidR="00B17F2E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т на кандидата</w:t>
      </w:r>
      <w:r w:rsidR="003D7041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в съответната научна област</w:t>
      </w:r>
      <w:r w:rsidR="00B17F2E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: </w:t>
      </w:r>
    </w:p>
    <w:p w14:paraId="0504CE14" w14:textId="3965EE99" w:rsidR="00456B18" w:rsidRPr="003F46CF" w:rsidRDefault="00B17F2E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п</w:t>
      </w:r>
      <w:r w:rsidR="00456B18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убликации;</w:t>
      </w:r>
    </w:p>
    <w:p w14:paraId="3726FFF1" w14:textId="1D3CBD2E" w:rsidR="00456B18" w:rsidRPr="003F46CF" w:rsidRDefault="00456B18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участия в изследователски проекти;</w:t>
      </w:r>
    </w:p>
    <w:p w14:paraId="164EC416" w14:textId="57A92859" w:rsidR="00456B18" w:rsidRPr="003F46CF" w:rsidRDefault="00456B18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научни специализации</w:t>
      </w:r>
      <w:r w:rsidR="00BE40FA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</w:t>
      </w:r>
    </w:p>
    <w:p w14:paraId="66C531F8" w14:textId="208C5CCF" w:rsidR="00456B18" w:rsidRPr="003F46CF" w:rsidRDefault="00456B18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Материали с доказателствен характер</w:t>
      </w:r>
      <w:r w:rsidR="00724D4C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</w:t>
      </w:r>
    </w:p>
    <w:p w14:paraId="361AD6DA" w14:textId="09678313" w:rsidR="00456B18" w:rsidRPr="003F46CF" w:rsidRDefault="00456B18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за участие в научни специализации;</w:t>
      </w:r>
    </w:p>
    <w:p w14:paraId="3EB14848" w14:textId="49919164" w:rsidR="00456B18" w:rsidRPr="003F46CF" w:rsidRDefault="00456B18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за участие в научни конференции;</w:t>
      </w:r>
    </w:p>
    <w:p w14:paraId="322EB8E4" w14:textId="65E6D7F4" w:rsidR="00456B18" w:rsidRPr="003F46CF" w:rsidRDefault="008B377B" w:rsidP="00D90FD0">
      <w:pPr>
        <w:pStyle w:val="ListParagraph"/>
        <w:numPr>
          <w:ilvl w:val="1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</w:t>
      </w:r>
      <w:r w:rsidR="00456B18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опие от публикации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със съответните линкове към базите данни</w:t>
      </w:r>
      <w:r w:rsidR="00BE40FA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</w:t>
      </w:r>
    </w:p>
    <w:p w14:paraId="1F4B80F9" w14:textId="615422BC" w:rsidR="00456B18" w:rsidRPr="003F46CF" w:rsidRDefault="00456B18" w:rsidP="00456B18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Декларация</w:t>
      </w:r>
      <w:r w:rsidR="008E7A45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за трудово правен статус</w:t>
      </w:r>
      <w:r w:rsidR="00221B7D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;</w:t>
      </w:r>
    </w:p>
    <w:p w14:paraId="4C503464" w14:textId="07AC6A22" w:rsidR="00B33157" w:rsidRPr="003F46CF" w:rsidRDefault="00DB0892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Копие от </w:t>
      </w:r>
      <w:r w:rsidR="00B33157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награди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и</w:t>
      </w:r>
      <w:r w:rsidR="00B33157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грамоти</w:t>
      </w:r>
      <w:r w:rsidR="00221B7D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</w:t>
      </w:r>
    </w:p>
    <w:bookmarkEnd w:id="2"/>
    <w:p w14:paraId="2C284B61" w14:textId="77777777" w:rsidR="004A0CA4" w:rsidRDefault="004A0CA4" w:rsidP="004A0CA4">
      <w:pPr>
        <w:pStyle w:val="ListParagraph"/>
        <w:tabs>
          <w:tab w:val="left" w:pos="14884"/>
        </w:tabs>
        <w:spacing w:after="167" w:line="267" w:lineRule="auto"/>
        <w:ind w:left="1068"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0D44B999" w14:textId="77777777" w:rsidR="008F083A" w:rsidRPr="003F46CF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067F7AFE" w14:textId="77777777" w:rsidR="00B33157" w:rsidRPr="003F46CF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sectPr w:rsidR="00B33157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809F" w14:textId="77777777" w:rsidR="00513B8E" w:rsidRDefault="00513B8E">
      <w:pPr>
        <w:spacing w:after="0" w:line="240" w:lineRule="auto"/>
      </w:pPr>
      <w:r>
        <w:separator/>
      </w:r>
    </w:p>
  </w:endnote>
  <w:endnote w:type="continuationSeparator" w:id="0">
    <w:p w14:paraId="619A96FD" w14:textId="77777777" w:rsidR="00513B8E" w:rsidRDefault="0051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D2D0" w14:textId="77777777" w:rsidR="00513B8E" w:rsidRDefault="00513B8E">
      <w:pPr>
        <w:spacing w:after="0" w:line="240" w:lineRule="auto"/>
      </w:pPr>
      <w:r>
        <w:separator/>
      </w:r>
    </w:p>
  </w:footnote>
  <w:footnote w:type="continuationSeparator" w:id="0">
    <w:p w14:paraId="751CBD54" w14:textId="77777777" w:rsidR="00513B8E" w:rsidRDefault="0051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5787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D1D86"/>
    <w:rsid w:val="002D6771"/>
    <w:rsid w:val="002D7E97"/>
    <w:rsid w:val="002E04FF"/>
    <w:rsid w:val="002E1997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3B8E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E1D98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A3F"/>
    <w:rsid w:val="00CB22CD"/>
    <w:rsid w:val="00CB4FC6"/>
    <w:rsid w:val="00CC1B52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063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65FD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10A6-23B2-467F-AF1E-3F4A5F6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Ралица  Г. Гърбева</cp:lastModifiedBy>
  <cp:revision>43</cp:revision>
  <cp:lastPrinted>2020-01-23T14:53:00Z</cp:lastPrinted>
  <dcterms:created xsi:type="dcterms:W3CDTF">2022-04-28T06:39:00Z</dcterms:created>
  <dcterms:modified xsi:type="dcterms:W3CDTF">2024-06-27T09:02:00Z</dcterms:modified>
</cp:coreProperties>
</file>